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Identifying Data:</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Full Name: RK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Address: Queens, NY</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Date of Birth: October, 2016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Date &amp; Time: October 22,2020</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Location: Queens Hospital Center, NY</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Religion: sikhs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Nationality: Indian</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Source of Information: Self/mother (reliable)</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Mode of Transport: by car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Chief Complaint:</w:t>
      </w:r>
      <w:r>
        <w:rPr>
          <w:rFonts w:eastAsia="Times New Roman" w:cs="Times New Roman" w:ascii="Times New Roman" w:hAnsi="Times New Roman"/>
          <w:sz w:val="24"/>
          <w:szCs w:val="24"/>
        </w:rPr>
        <w:t xml:space="preserve"> “ My child has been complaining of belly pain and crying while peeing” for the past 2 days.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History of Present Illness: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year old female with PMHx of urinary tract infection presented to the pediatrics ER complaining of abdominal pain and burning sensation  during urination for the past 2 days. Patient’s mother states, 2 days ago the patient  suddenly started complaining of suprapubic pain before and after urinating. Patient states she is having a lot of pain in belly and she is going to the bathroom multiple times. Patient’s mother states every time she urinates, she cries because  it burns a lot. As per mother, nothing really alleviates or aggravates the pain and she did not give any medication to the child for the pain. As per the mother, the patient had 2 episodes of non bilious non bloody  vomiting today and since then the patient refused to take any food. Patient’s mother reported tactile fever X 1 day but did not check with a thermometer. Patient’s mother denies chest pain, SOB, diarrhea, vaginal itching or discharge, cough, recent travel or sick contact.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Past Medical History:</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Urinary Tract Infection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Immunization: up to date, did not receive flu vaccine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Denies prior hospitalization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Past Surgical History:</w:t>
      </w:r>
      <w:r>
        <w:rPr>
          <w:rFonts w:eastAsia="Times New Roman" w:cs="Times New Roman" w:ascii="Times New Roman" w:hAnsi="Times New Roman"/>
          <w:sz w:val="24"/>
          <w:szCs w:val="24"/>
        </w:rPr>
        <w:t xml:space="preserve">None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Medications</w:t>
      </w:r>
      <w:r>
        <w:rPr>
          <w:rFonts w:eastAsia="Times New Roman" w:cs="Times New Roman" w:ascii="Times New Roman" w:hAnsi="Times New Roman"/>
          <w:sz w:val="24"/>
          <w:szCs w:val="24"/>
        </w:rPr>
        <w:t>:None</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Allergies</w:t>
      </w:r>
      <w:r>
        <w:rPr>
          <w:rFonts w:eastAsia="Times New Roman" w:cs="Times New Roman" w:ascii="Times New Roman" w:hAnsi="Times New Roman"/>
          <w:sz w:val="24"/>
          <w:szCs w:val="24"/>
        </w:rPr>
        <w:t>:NKDA</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Family History</w:t>
      </w:r>
      <w:r>
        <w:rPr>
          <w:rFonts w:eastAsia="Times New Roman" w:cs="Times New Roman" w:ascii="Times New Roman" w:hAnsi="Times New Roman"/>
          <w:sz w:val="24"/>
          <w:szCs w:val="24"/>
        </w:rPr>
        <w:t xml:space="preserve">: Denies family history of HTN, Cancer or any Cardiovascular disease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Social History</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Rk lives with her mother, father, brother (10y/o) and grandparents in a private house. Patient is attending remote schools as she is in pre-K. As per mother, the patient did not recently travel. Patient follows up with PCP and is up to date with her immunization. TAs permother there are no significant changes in the diet.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Review of Systems: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General</w:t>
      </w:r>
      <w:r>
        <w:rPr>
          <w:rFonts w:eastAsia="Times New Roman" w:cs="Times New Roman" w:ascii="Times New Roman" w:hAnsi="Times New Roman"/>
          <w:sz w:val="24"/>
          <w:szCs w:val="24"/>
        </w:rPr>
        <w:t xml:space="preserve"> – Admits of fever,fatigue, loss of appetite but denies chills, weight loss, night sweats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Head</w:t>
      </w:r>
      <w:r>
        <w:rPr>
          <w:rFonts w:eastAsia="Times New Roman" w:cs="Times New Roman" w:ascii="Times New Roman" w:hAnsi="Times New Roman"/>
          <w:sz w:val="24"/>
          <w:szCs w:val="24"/>
        </w:rPr>
        <w:t xml:space="preserve"> –Denies headaches, vertigo or head trauma.</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Ears</w:t>
      </w:r>
      <w:r>
        <w:rPr>
          <w:rFonts w:eastAsia="Times New Roman" w:cs="Times New Roman" w:ascii="Times New Roman" w:hAnsi="Times New Roman"/>
          <w:sz w:val="24"/>
          <w:szCs w:val="24"/>
        </w:rPr>
        <w:t xml:space="preserve"> – Denies pain, discharge, tinnitus or use of hearing aids.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Nose/sinuses</w:t>
      </w:r>
      <w:r>
        <w:rPr>
          <w:rFonts w:eastAsia="Times New Roman" w:cs="Times New Roman" w:ascii="Times New Roman" w:hAnsi="Times New Roman"/>
          <w:sz w:val="24"/>
          <w:szCs w:val="24"/>
        </w:rPr>
        <w:t xml:space="preserve"> – Admits clear discharge. Denies obstruction or epistaxis.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Mouth/throat</w:t>
      </w:r>
      <w:r>
        <w:rPr>
          <w:rFonts w:eastAsia="Times New Roman" w:cs="Times New Roman" w:ascii="Times New Roman" w:hAnsi="Times New Roman"/>
          <w:sz w:val="24"/>
          <w:szCs w:val="24"/>
        </w:rPr>
        <w:t xml:space="preserve"> –Denies bleeding gums, sore tough, sore throat, mouth ulcers, voice change</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Neck</w:t>
      </w:r>
      <w:r>
        <w:rPr>
          <w:rFonts w:eastAsia="Times New Roman" w:cs="Times New Roman" w:ascii="Times New Roman" w:hAnsi="Times New Roman"/>
          <w:sz w:val="24"/>
          <w:szCs w:val="24"/>
        </w:rPr>
        <w:t xml:space="preserve"> – Denies localized swelling/lumps or stiffness/decreased range of motion</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Pulmonary system</w:t>
      </w:r>
      <w:r>
        <w:rPr>
          <w:rFonts w:eastAsia="Times New Roman" w:cs="Times New Roman" w:ascii="Times New Roman" w:hAnsi="Times New Roman"/>
          <w:sz w:val="24"/>
          <w:szCs w:val="24"/>
        </w:rPr>
        <w:t xml:space="preserve"> – Denies SOB, wheezing, cough, hemoptysis, cyanosis, orthopnea, or paroxysmal nocturnal dyspnea (PND).</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Cardiovascular system</w:t>
      </w:r>
      <w:r>
        <w:rPr>
          <w:rFonts w:eastAsia="Times New Roman" w:cs="Times New Roman" w:ascii="Times New Roman" w:hAnsi="Times New Roman"/>
          <w:sz w:val="24"/>
          <w:szCs w:val="24"/>
        </w:rPr>
        <w:t>-  Denies irregular heartbeat, chest pain, palpitations, edema/swelling of ankles or feet. syncope</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Gastrointestinal system</w:t>
      </w:r>
      <w:r>
        <w:rPr>
          <w:rFonts w:eastAsia="Times New Roman" w:cs="Times New Roman" w:ascii="Times New Roman" w:hAnsi="Times New Roman"/>
          <w:sz w:val="24"/>
          <w:szCs w:val="24"/>
        </w:rPr>
        <w:t xml:space="preserve"> –Has regular bowel movements every  day. Admits of change in</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Appetite, nausea and vomiting and abdominal pain but denies  diarrhea, jaundice, hemorrhoids, rectal bleeding, or blood in stool.</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Genitourinary system</w:t>
      </w:r>
      <w:r>
        <w:rPr>
          <w:rFonts w:eastAsia="Times New Roman" w:cs="Times New Roman" w:ascii="Times New Roman" w:hAnsi="Times New Roman"/>
          <w:sz w:val="24"/>
          <w:szCs w:val="24"/>
        </w:rPr>
        <w:t xml:space="preserve"> – Admits to dysuria, polyuria and  increases urinary frequency but denies  urgency, nocturia, incontinence, awakening at night to urinate or flank pain.</w:t>
      </w:r>
    </w:p>
    <w:p>
      <w:pPr>
        <w:pStyle w:val="Normal"/>
        <w:rPr>
          <w:rFonts w:ascii="Times New Roman" w:hAnsi="Times New Roman" w:eastAsia="Times New Roman" w:cs="Times New Roman"/>
          <w:color w:val="0000FF"/>
          <w:sz w:val="24"/>
          <w:szCs w:val="24"/>
          <w:u w:val="single"/>
        </w:rPr>
      </w:pPr>
      <w:r>
        <w:rPr>
          <w:rFonts w:eastAsia="Times New Roman" w:cs="Times New Roman" w:ascii="Times New Roman" w:hAnsi="Times New Roman"/>
          <w:color w:val="0000FF"/>
          <w:sz w:val="24"/>
          <w:szCs w:val="24"/>
          <w:u w:val="single"/>
        </w:rPr>
      </w:r>
    </w:p>
    <w:p>
      <w:pPr>
        <w:pStyle w:val="Normal"/>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Physical Exam</w:t>
      </w:r>
    </w:p>
    <w:p>
      <w:pPr>
        <w:pStyle w:val="Normal"/>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Vital Signs: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BP: right seated 95/55</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Pulse:  110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Temp: 102 °F (rectall)</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Resp: 30</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SpO2: 99%</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Height: 38 inches Weight: 44 Lbs  BMI:21.4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General:</w:t>
      </w:r>
      <w:r>
        <w:rPr>
          <w:rFonts w:eastAsia="Times New Roman" w:cs="Times New Roman" w:ascii="Times New Roman" w:hAnsi="Times New Roman"/>
          <w:sz w:val="24"/>
          <w:szCs w:val="24"/>
        </w:rPr>
        <w:t xml:space="preserve"> 4 year old female, well-developed and well-nourished. She is active but crying intermittently due to the abdominal pain. She appears to be in moderate distress.</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Nails</w:t>
      </w:r>
      <w:r>
        <w:rPr>
          <w:rFonts w:eastAsia="Times New Roman" w:cs="Times New Roman" w:ascii="Times New Roman" w:hAnsi="Times New Roman"/>
          <w:sz w:val="24"/>
          <w:szCs w:val="24"/>
        </w:rPr>
        <w:t>: no sign of clubbing, cyanosis, koilonychia, paronychia. capillary refill &lt;2 seconds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throughout.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Skin</w:t>
      </w:r>
      <w:r>
        <w:rPr>
          <w:rFonts w:eastAsia="Times New Roman" w:cs="Times New Roman" w:ascii="Times New Roman" w:hAnsi="Times New Roman"/>
          <w:sz w:val="24"/>
          <w:szCs w:val="24"/>
        </w:rPr>
        <w:t>: warm, moist and smooth to touch, good turgor. Nonicteric, no evidence of petechiae, cyanosis, jaundice,  hypo or hyper pigmentation, erythema, mass, lesions, scars or tattoos.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Head</w:t>
      </w:r>
      <w:r>
        <w:rPr>
          <w:rFonts w:eastAsia="Times New Roman" w:cs="Times New Roman" w:ascii="Times New Roman" w:hAnsi="Times New Roman"/>
          <w:sz w:val="24"/>
          <w:szCs w:val="24"/>
        </w:rPr>
        <w:t>: normocephalic, atraumatic, no specific facies.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Eyes</w:t>
      </w:r>
      <w:r>
        <w:rPr>
          <w:rFonts w:eastAsia="Times New Roman" w:cs="Times New Roman" w:ascii="Times New Roman" w:hAnsi="Times New Roman"/>
          <w:sz w:val="24"/>
          <w:szCs w:val="24"/>
        </w:rPr>
        <w:t>: Pupils are equal, round, and reactive to light.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Ears:</w:t>
      </w:r>
      <w:r>
        <w:rPr>
          <w:rFonts w:eastAsia="Times New Roman" w:cs="Times New Roman" w:ascii="Times New Roman" w:hAnsi="Times New Roman"/>
          <w:sz w:val="24"/>
          <w:szCs w:val="24"/>
        </w:rPr>
        <w:t xml:space="preserve"> The ear canal is clear without discharge or foreigh body. The tympanic membrane is normal in appearance with a good cone of light. Hearing is intact with good acuity to whispered voice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Nose</w:t>
      </w:r>
      <w:r>
        <w:rPr>
          <w:rFonts w:eastAsia="Times New Roman" w:cs="Times New Roman" w:ascii="Times New Roman" w:hAnsi="Times New Roman"/>
          <w:sz w:val="24"/>
          <w:szCs w:val="24"/>
        </w:rPr>
        <w:t xml:space="preserve"> – Nasal mucosa is pink and moist with clear discharge. The nasal septum is midline. Nares are patent bilaterally. </w:t>
      </w:r>
    </w:p>
    <w:p>
      <w:pPr>
        <w:pStyle w:val="Normal"/>
        <w:spacing w:lineRule="auto" w:line="240" w:before="240" w:after="24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Throat/Mouth</w:t>
      </w:r>
      <w:r>
        <w:rPr>
          <w:rFonts w:eastAsia="Times New Roman" w:cs="Times New Roman" w:ascii="Times New Roman" w:hAnsi="Times New Roman"/>
          <w:sz w:val="24"/>
          <w:szCs w:val="24"/>
        </w:rPr>
        <w:t xml:space="preserve"> – Oral mucosa is pink and moist with good dentition. Tongue normal in appearance without lesions and with good symmetrical movement. The pharynx is normal in appearance without tonsillar swelling or exudates. No adenopathy is noted.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Neck</w:t>
      </w:r>
      <w:r>
        <w:rPr>
          <w:rFonts w:eastAsia="Times New Roman" w:cs="Times New Roman" w:ascii="Times New Roman" w:hAnsi="Times New Roman"/>
          <w:sz w:val="24"/>
          <w:szCs w:val="24"/>
        </w:rPr>
        <w:t xml:space="preserve"> - Trachea midline. No masses; lesions; scars Normal range of motion. Neck supple.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Heart</w:t>
      </w:r>
      <w:r>
        <w:rPr>
          <w:rFonts w:eastAsia="Times New Roman" w:cs="Times New Roman" w:ascii="Times New Roman" w:hAnsi="Times New Roman"/>
          <w:sz w:val="24"/>
          <w:szCs w:val="24"/>
        </w:rPr>
        <w:t>: regular rate and rhythm (RRR); S1 and S2 are normal. There are no murmurs, S3, S4,</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splitting of heart sounds, friction rubs or other extra sounds.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Lungs</w:t>
      </w:r>
      <w:r>
        <w:rPr>
          <w:rFonts w:eastAsia="Times New Roman" w:cs="Times New Roman" w:ascii="Times New Roman" w:hAnsi="Times New Roman"/>
          <w:sz w:val="24"/>
          <w:szCs w:val="24"/>
        </w:rPr>
        <w:t>:  Effort normal and breath sounds normal. No nasal flaring or stridor. clear to auscultation and no evidence of adventitious sounds.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Abdomen</w:t>
      </w:r>
      <w:r>
        <w:rPr>
          <w:rFonts w:eastAsia="Times New Roman" w:cs="Times New Roman" w:ascii="Times New Roman" w:hAnsi="Times New Roman"/>
          <w:sz w:val="24"/>
          <w:szCs w:val="24"/>
        </w:rPr>
        <w:t>: Flat / symmetrical / no evidence of scars or abnormal pulsations. Bowel sound is present in all four quadrants. Soft, tender palpation in a suprapubic area . No psoas or rovsing sign, no rebound, no distension, no fluid wave or ascites. There is no CVA tenderness.  There is no hepatosplenomegaly</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Genitourinary:</w:t>
      </w:r>
      <w:r>
        <w:rPr>
          <w:rFonts w:eastAsia="Times New Roman" w:cs="Times New Roman" w:ascii="Times New Roman" w:hAnsi="Times New Roman"/>
          <w:sz w:val="24"/>
          <w:szCs w:val="24"/>
        </w:rPr>
        <w:t xml:space="preserve"> normal female genitalia, no evidence of discharge, excoriation</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Musculoskeletal: </w:t>
      </w:r>
      <w:r>
        <w:rPr>
          <w:rFonts w:eastAsia="Times New Roman" w:cs="Times New Roman" w:ascii="Times New Roman" w:hAnsi="Times New Roman"/>
          <w:sz w:val="24"/>
          <w:szCs w:val="24"/>
        </w:rPr>
        <w:t>Normal range of motion. She exhibits no edema, tenderness, deformity or signs of injury.</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Neurological</w:t>
      </w:r>
      <w:r>
        <w:rPr>
          <w:rFonts w:eastAsia="Times New Roman" w:cs="Times New Roman" w:ascii="Times New Roman" w:hAnsi="Times New Roman"/>
          <w:sz w:val="24"/>
          <w:szCs w:val="24"/>
        </w:rPr>
        <w:t>: She is alert.</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Assessment: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year old female with PMHx of urinary tract infection presented to the ER complaining of abdominal pain and burning sensation  during urination for the past 2 days. Patient presentation is most consistent with urinary tract infection. </w:t>
      </w:r>
    </w:p>
    <w:p>
      <w:pPr>
        <w:pStyle w:val="Normal"/>
        <w:rPr>
          <w:rFonts w:ascii="Times New Roman" w:hAnsi="Times New Roman" w:eastAsia="Times New Roman" w:cs="Times New Roman"/>
          <w:color w:val="0000FF"/>
          <w:sz w:val="24"/>
          <w:szCs w:val="24"/>
          <w:u w:val="single"/>
        </w:rPr>
      </w:pPr>
      <w:r>
        <w:rPr>
          <w:rFonts w:eastAsia="Times New Roman" w:cs="Times New Roman" w:ascii="Times New Roman" w:hAnsi="Times New Roman"/>
          <w:color w:val="0000FF"/>
          <w:sz w:val="24"/>
          <w:szCs w:val="24"/>
          <w:u w:val="single"/>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Differential Diagnosis:</w:t>
      </w:r>
    </w:p>
    <w:p>
      <w:pPr>
        <w:pStyle w:val="Normal"/>
        <w:numPr>
          <w:ilvl w:val="0"/>
          <w:numId w:val="3"/>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Urinary Tract Infection </w:t>
      </w:r>
    </w:p>
    <w:p>
      <w:pPr>
        <w:pStyle w:val="Normal"/>
        <w:numPr>
          <w:ilvl w:val="0"/>
          <w:numId w:val="3"/>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Pyelonephritis</w:t>
      </w:r>
    </w:p>
    <w:p>
      <w:pPr>
        <w:pStyle w:val="Normal"/>
        <w:numPr>
          <w:ilvl w:val="0"/>
          <w:numId w:val="3"/>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Bacterial Vaginosis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Plan :</w:t>
      </w:r>
    </w:p>
    <w:p>
      <w:pPr>
        <w:pStyle w:val="Normal"/>
        <w:numPr>
          <w:ilvl w:val="0"/>
          <w:numId w:val="1"/>
        </w:numPr>
        <w:ind w:left="72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Order labs: </w:t>
      </w:r>
    </w:p>
    <w:p>
      <w:pPr>
        <w:pStyle w:val="Normal"/>
        <w:numPr>
          <w:ilvl w:val="0"/>
          <w:numId w:val="4"/>
        </w:numPr>
        <w:ind w:left="1170" w:hanging="360"/>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CBC with differentials: WBC (14.57), Neutrophil abs 9.54</w:t>
      </w:r>
    </w:p>
    <w:p>
      <w:pPr>
        <w:pStyle w:val="Normal"/>
        <w:numPr>
          <w:ilvl w:val="0"/>
          <w:numId w:val="4"/>
        </w:numPr>
        <w:ind w:left="1170" w:hanging="360"/>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CMP - creatinine 0.53, Anion gap 22</w:t>
      </w:r>
    </w:p>
    <w:p>
      <w:pPr>
        <w:pStyle w:val="Normal"/>
        <w:numPr>
          <w:ilvl w:val="0"/>
          <w:numId w:val="4"/>
        </w:numPr>
        <w:ind w:left="1170" w:hanging="360"/>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UA - cloudy appearance, nitrate positive, large leukocyte esterase, WBC&gt;50, Bacteria- TNTC </w:t>
      </w:r>
    </w:p>
    <w:p>
      <w:pPr>
        <w:pStyle w:val="Normal"/>
        <w:numPr>
          <w:ilvl w:val="0"/>
          <w:numId w:val="4"/>
        </w:numPr>
        <w:ind w:left="1170" w:hanging="360"/>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Blood culture- result pending </w:t>
      </w:r>
    </w:p>
    <w:p>
      <w:pPr>
        <w:pStyle w:val="Normal"/>
        <w:numPr>
          <w:ilvl w:val="0"/>
          <w:numId w:val="4"/>
        </w:numPr>
        <w:ind w:left="1170" w:hanging="360"/>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Urine culture- result pending </w:t>
      </w:r>
    </w:p>
    <w:p>
      <w:pPr>
        <w:pStyle w:val="Normal"/>
        <w:numPr>
          <w:ilvl w:val="0"/>
          <w:numId w:val="2"/>
        </w:numPr>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 xml:space="preserve">Initiate medication </w:t>
      </w:r>
    </w:p>
    <w:p>
      <w:pPr>
        <w:pStyle w:val="Normal"/>
        <w:numPr>
          <w:ilvl w:val="1"/>
          <w:numId w:val="2"/>
        </w:numPr>
        <w:spacing w:before="0" w:afterAutospacing="0" w:after="0"/>
        <w:ind w:left="1170" w:hanging="360"/>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Motrin PO for the fever </w:t>
      </w:r>
    </w:p>
    <w:p>
      <w:pPr>
        <w:pStyle w:val="Heading2"/>
        <w:numPr>
          <w:ilvl w:val="1"/>
          <w:numId w:val="2"/>
        </w:numPr>
        <w:spacing w:beforeAutospacing="0" w:before="0" w:afterAutospacing="0" w:after="0"/>
        <w:ind w:left="1170" w:hanging="360"/>
        <w:rPr>
          <w:rFonts w:ascii="Times New Roman" w:hAnsi="Times New Roman" w:eastAsia="Times New Roman" w:cs="Times New Roman"/>
          <w:sz w:val="24"/>
          <w:szCs w:val="24"/>
          <w:u w:val="none"/>
        </w:rPr>
      </w:pPr>
      <w:bookmarkStart w:id="0" w:name="_m5m3xayt2cr3"/>
      <w:bookmarkEnd w:id="0"/>
      <w:r>
        <w:rPr>
          <w:rFonts w:eastAsia="Times New Roman" w:cs="Times New Roman" w:ascii="Times New Roman" w:hAnsi="Times New Roman"/>
          <w:sz w:val="24"/>
          <w:szCs w:val="24"/>
        </w:rPr>
        <w:t>Ceftriaxone (ROCEPHIN) 749 mg in lidocaine 1 %</w:t>
      </w:r>
    </w:p>
    <w:p>
      <w:pPr>
        <w:pStyle w:val="Normal"/>
        <w:numPr>
          <w:ilvl w:val="0"/>
          <w:numId w:val="2"/>
        </w:numPr>
        <w:ind w:left="72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Reassess for patient’s stability, abdominal pain and fever </w:t>
      </w:r>
    </w:p>
    <w:p>
      <w:pPr>
        <w:pStyle w:val="Normal"/>
        <w:numPr>
          <w:ilvl w:val="0"/>
          <w:numId w:val="2"/>
        </w:numPr>
        <w:ind w:left="720" w:hanging="360"/>
        <w:rPr>
          <w:rFonts w:ascii="Times New Roman" w:hAnsi="Times New Roman" w:eastAsia="Times New Roman" w:cs="Times New Roman"/>
          <w:color w:val="0F0F0F"/>
          <w:sz w:val="24"/>
          <w:szCs w:val="24"/>
        </w:rPr>
      </w:pPr>
      <w:r>
        <w:rPr>
          <w:rFonts w:eastAsia="Times New Roman" w:cs="Times New Roman" w:ascii="Times New Roman" w:hAnsi="Times New Roman"/>
          <w:sz w:val="24"/>
          <w:szCs w:val="24"/>
        </w:rPr>
        <w:t xml:space="preserve">Patient was stabilized in the ER, afraile and discharged home on cephalexin (KEFELX) 250 mg/5mL suspension 3 times daily for 7 days  and Ibuprofen 7mL by mouth every six hours as needed  for fever </w:t>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r>
    </w:p>
    <w:p>
      <w:pPr>
        <w:pStyle w:val="Normal"/>
        <w:rPr>
          <w:rFonts w:ascii="Times New Roman" w:hAnsi="Times New Roman" w:eastAsia="Times New Roman" w:cs="Times New Roman"/>
          <w:b/>
          <w:b/>
          <w:color w:val="333333"/>
          <w:sz w:val="24"/>
          <w:szCs w:val="24"/>
          <w:highlight w:val="white"/>
        </w:rPr>
      </w:pPr>
      <w:r>
        <w:rPr>
          <w:rFonts w:eastAsia="Times New Roman" w:cs="Times New Roman" w:ascii="Times New Roman" w:hAnsi="Times New Roman"/>
          <w:b/>
          <w:color w:val="333333"/>
          <w:sz w:val="24"/>
          <w:szCs w:val="24"/>
          <w:highlight w:val="white"/>
        </w:rPr>
        <w:t>Patient Education and Follow-Up:</w:t>
      </w:r>
    </w:p>
    <w:p>
      <w:pPr>
        <w:pStyle w:val="Normal"/>
        <w:rPr>
          <w:rFonts w:ascii="Times New Roman" w:hAnsi="Times New Roman" w:eastAsia="Times New Roman" w:cs="Times New Roman"/>
          <w:color w:val="333333"/>
          <w:sz w:val="24"/>
          <w:szCs w:val="24"/>
          <w:highlight w:val="white"/>
        </w:rPr>
      </w:pPr>
      <w:r>
        <w:rPr>
          <w:rFonts w:eastAsia="Times New Roman" w:cs="Times New Roman" w:ascii="Times New Roman" w:hAnsi="Times New Roman"/>
          <w:color w:val="333333"/>
          <w:sz w:val="24"/>
          <w:szCs w:val="24"/>
          <w:highlight w:val="white"/>
        </w:rPr>
        <w:t xml:space="preserve">Patient’s mother was advised to increase fluid intake for the patient, avoid back to front cleaning methods and follow up with the PCP. Patient’s mother was advised to return to the ER if the symptoms worsened. </w:t>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r>
    </w:p>
    <w:p>
      <w:pPr>
        <w:pStyle w:val="Normal"/>
        <w:rPr>
          <w:rFonts w:ascii="Times New Roman" w:hAnsi="Times New Roman" w:eastAsia="Times New Roman" w:cs="Times New Roman"/>
          <w:b/>
          <w:b/>
          <w:color w:val="0F0F0F"/>
          <w:sz w:val="24"/>
          <w:szCs w:val="24"/>
        </w:rPr>
      </w:pPr>
      <w:r>
        <w:rPr>
          <w:rFonts w:eastAsia="Times New Roman" w:cs="Times New Roman" w:ascii="Times New Roman" w:hAnsi="Times New Roman"/>
          <w:b/>
          <w:color w:val="0F0F0F"/>
          <w:sz w:val="24"/>
          <w:szCs w:val="24"/>
        </w:rPr>
        <w:t xml:space="preserve">Further follow up: </w:t>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Patient was called back to return to the ER as the urinary culture shows the patient is resistant to multiple antibiotics and requires IV antibiotic medications. </w:t>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b/>
          <w:color w:val="0F0F0F"/>
          <w:sz w:val="24"/>
          <w:szCs w:val="24"/>
        </w:rPr>
        <w:t>Urine Culture:</w:t>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 </w:t>
      </w:r>
      <w:r>
        <w:rPr>
          <w:rFonts w:eastAsia="Times New Roman" w:cs="Times New Roman" w:ascii="Times New Roman" w:hAnsi="Times New Roman"/>
          <w:color w:val="0F0F0F"/>
          <w:sz w:val="24"/>
          <w:szCs w:val="24"/>
        </w:rPr>
        <w:t>Final</w:t>
        <w:tab/>
        <w:t xml:space="preserve">Abnormal (POS) </w:t>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&gt;100,000 CFU/ml Morganella morganii </w:t>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&gt;100,000 CFU/ml Escherichia coli ESBL  </w:t>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r>
    </w:p>
    <w:tbl>
      <w:tblPr>
        <w:tblStyle w:val="Table1"/>
        <w:tblW w:w="936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tblPr>
      <w:tblGrid>
        <w:gridCol w:w="3120"/>
        <w:gridCol w:w="3120"/>
        <w:gridCol w:w="3120"/>
      </w:tblGrid>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Morganella morganii</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   </w:t>
            </w:r>
            <w:r>
              <w:rPr>
                <w:rFonts w:eastAsia="Times New Roman" w:cs="Times New Roman" w:ascii="Times New Roman" w:hAnsi="Times New Roman"/>
                <w:color w:val="0F0F0F"/>
                <w:sz w:val="24"/>
                <w:szCs w:val="24"/>
              </w:rPr>
              <w:t>Escherichia Coli ESBL</w:t>
              <w:tab/>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Amikacin</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Amoxicillin/Clavulanate</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tab/>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Ampicillin</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tab/>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Ampicillin/Sulbactam</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Intermediate</w:t>
              <w:tab/>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Aztreonam</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tab/>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Cefazolin</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tab/>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Cefepime</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tab/>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Cefoxitin</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Ceftriaxone</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Ciprofloxacin</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Ertapenem</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Gentamicin</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Imipenem</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Levofloxacin</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Meropenem</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Nitrofurantoin</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Piperacillin/Tazobactam</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Tigecycline</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Tobramycin</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tab/>
            </w:r>
          </w:p>
        </w:tc>
      </w:tr>
      <w:tr>
        <w:trPr/>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D9D2E9"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Trimethoprim/Sulfa</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Sensitive</w:t>
              <w:tab/>
            </w:r>
          </w:p>
        </w:tc>
        <w:tc>
          <w:tcPr>
            <w:tcW w:w="31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Resistant</w:t>
            </w:r>
          </w:p>
        </w:tc>
      </w:tr>
    </w:tbl>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ab/>
        <w:t xml:space="preserve">      </w:t>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r>
    </w:p>
    <w:p>
      <w:pPr>
        <w:pStyle w:val="Normal"/>
        <w:rPr>
          <w:rFonts w:ascii="Times New Roman" w:hAnsi="Times New Roman" w:eastAsia="Times New Roman" w:cs="Times New Roman"/>
          <w:color w:val="0F0F0F"/>
          <w:sz w:val="24"/>
          <w:szCs w:val="24"/>
        </w:rPr>
      </w:pPr>
      <w:r>
        <w:rPr>
          <w:rFonts w:eastAsia="Times New Roman" w:cs="Times New Roman" w:ascii="Times New Roman" w:hAnsi="Times New Roman"/>
          <w:color w:val="0F0F0F"/>
          <w:sz w:val="24"/>
          <w:szCs w:val="24"/>
        </w:rPr>
        <w:t xml:space="preserve"> </w:t>
      </w:r>
    </w:p>
    <w:tbl>
      <w:tblPr>
        <w:tblStyle w:val="Table2"/>
        <w:tblW w:w="1335" w:type="dxa"/>
        <w:jc w:val="left"/>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2" w:type="dxa"/>
          <w:bottom w:w="0" w:type="dxa"/>
          <w:right w:w="20" w:type="dxa"/>
        </w:tblCellMar>
        <w:tblLook w:val="0600"/>
      </w:tblPr>
      <w:tblGrid>
        <w:gridCol w:w="1335"/>
      </w:tblGrid>
      <w:tr>
        <w:trPr>
          <w:trHeight w:val="15" w:hRule="atLeast"/>
        </w:trPr>
        <w:tc>
          <w:tcPr>
            <w:tcW w:w="133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fill="auto" w:val="cle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Wingdings 2">
    <w:charset w:val="02"/>
    <w:family w:val="auto"/>
    <w:pitch w:val="default"/>
  </w:font>
  <w:font w:name="Wingdings">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sz w:val="24"/>
        <w:u w:val="none"/>
        <w:b/>
        <w:rFonts w:ascii="Times New Roman" w:hAnsi="Times New Roman"/>
      </w:rPr>
    </w:lvl>
    <w:lvl w:ilvl="1">
      <w:start w:val="1"/>
      <w:numFmt w:val="bullet"/>
      <w:lvlText w:val=""/>
      <w:lvlJc w:val="left"/>
      <w:pPr>
        <w:ind w:left="1440" w:hanging="360"/>
      </w:pPr>
      <w:rPr>
        <w:rFonts w:ascii="Wingdings 2" w:hAnsi="Wingdings 2" w:cs="Wingdings 2" w:hint="default"/>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b/>
      <w:sz w:val="24"/>
      <w:u w:val="none"/>
    </w:rPr>
  </w:style>
  <w:style w:type="character" w:styleId="ListLabel11">
    <w:name w:val="ListLabel 11"/>
    <w:qFormat/>
    <w:rPr>
      <w:rFonts w:ascii="Times New Roman" w:hAnsi="Times New Roman"/>
      <w:sz w:val="24"/>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7</Pages>
  <Words>1098</Words>
  <Characters>6318</Characters>
  <CharactersWithSpaces>7359</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