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CC</w:t>
      </w:r>
      <w:r>
        <w:rPr>
          <w:rFonts w:eastAsia="Times New Roman" w:cs="Times New Roman" w:ascii="Times New Roman" w:hAnsi="Times New Roman"/>
          <w:sz w:val="24"/>
          <w:szCs w:val="24"/>
        </w:rPr>
        <w:t>: “I have stomach pain  since yesterday night”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HPI:</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17 years old male with PMHx of childhood Asthma presents to the Pediatrics ER complaining of right lower quadrant pain for the past one day. Yesterday morning the patient felt an urge to use the bathroom and had one episode of constipation and after the bowel movement patient started to experience pain in the RLQ quadrant. Patient reports he never experienced this type of pain before.He describes the pain as constant cramping sharp, 7/10, non-radiating RLQ pain. The pain is aggravated with movement and  alleviated with sitting still. Reports of the last bowel movement earlier today. Reports taking advil today at 8am with mild relief. Patients also admit mild nausea, decrease in appetite and mild dizziness. Denies fever, chills, CP, SOB, cough, V/D, genitourinary complaints, melena, recent trauma, travel, surgeries, new foods or antibiotics, sick contacts, weight change, or family history of colon cancer.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Past medical History</w:t>
      </w:r>
      <w:r>
        <w:rPr>
          <w:rFonts w:eastAsia="Times New Roman" w:cs="Times New Roman" w:ascii="Times New Roman" w:hAnsi="Times New Roman"/>
          <w:sz w:val="24"/>
          <w:szCs w:val="24"/>
        </w:rPr>
        <w:t xml:space="preserve">- childhood asthma but does not take any medication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Past surgical history</w:t>
      </w:r>
      <w:r>
        <w:rPr>
          <w:rFonts w:eastAsia="Times New Roman" w:cs="Times New Roman" w:ascii="Times New Roman" w:hAnsi="Times New Roman"/>
          <w:sz w:val="24"/>
          <w:szCs w:val="24"/>
        </w:rPr>
        <w:t>- none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Allergies</w:t>
      </w:r>
      <w:r>
        <w:rPr>
          <w:rFonts w:eastAsia="Times New Roman" w:cs="Times New Roman" w:ascii="Times New Roman" w:hAnsi="Times New Roman"/>
          <w:sz w:val="24"/>
          <w:szCs w:val="24"/>
        </w:rPr>
        <w:t>: NKDA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Medication</w:t>
      </w:r>
      <w:r>
        <w:rPr>
          <w:rFonts w:eastAsia="Times New Roman" w:cs="Times New Roman" w:ascii="Times New Roman" w:hAnsi="Times New Roman"/>
          <w:sz w:val="24"/>
          <w:szCs w:val="24"/>
        </w:rPr>
        <w:t>:none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Family History:</w:t>
      </w:r>
      <w:r>
        <w:rPr>
          <w:rFonts w:eastAsia="Times New Roman" w:cs="Times New Roman" w:ascii="Times New Roman" w:hAnsi="Times New Roman"/>
          <w:sz w:val="24"/>
          <w:szCs w:val="24"/>
        </w:rPr>
        <w:t xml:space="preserve"> Denies family history of cardiovascular diseases, cancer and strokes.</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Social History:</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Mr. R is a high school student who is in 11th grade and attending virtual school. Patient lives with his parents and three other siblings. Patient is not sexally active currently and denies the history of sexually transmitted diseases.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Habits – denies drinking, smoking or illicit drug use</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Review of Systems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Constitutional: </w:t>
      </w:r>
      <w:r>
        <w:rPr>
          <w:rFonts w:eastAsia="Times New Roman" w:cs="Times New Roman" w:ascii="Times New Roman" w:hAnsi="Times New Roman"/>
          <w:sz w:val="24"/>
          <w:szCs w:val="24"/>
          <w:u w:val="single"/>
        </w:rPr>
        <w:t>admits of recent loss of appetite for the past one day.</w:t>
      </w:r>
      <w:r>
        <w:rPr>
          <w:rFonts w:eastAsia="Times New Roman" w:cs="Times New Roman" w:ascii="Times New Roman" w:hAnsi="Times New Roman"/>
          <w:sz w:val="24"/>
          <w:szCs w:val="24"/>
        </w:rPr>
        <w:t xml:space="preserve"> Denies fever, chills, diaphoresis, fatigue, and unexpected weight change.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Head –Denies headaches, vertigo or head trauma.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Neck – Denies localized swelling/lumps or stiffness/decreased range of motion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Pulmonary system – denies dyspnea, dyspnea on exertion, cough, hemoptysis, cyanosis, orthopnea, or paroxysmal nocturnal dyspnea (PND).</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Cardiovascular system – Denies chest pain, palpitations, irregular heartbeat, edema/swelling of ankles or feet. syncope or known heart murmur</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Abdomen:</w:t>
      </w:r>
      <w:r>
        <w:rPr>
          <w:rFonts w:eastAsia="Times New Roman" w:cs="Times New Roman" w:ascii="Times New Roman" w:hAnsi="Times New Roman"/>
          <w:sz w:val="24"/>
          <w:szCs w:val="24"/>
        </w:rPr>
        <w:t xml:space="preserve"> admits of RLQ constant abdominal pain and mild nausea. Denies abdominal distention, anal bleeding, blood in stool, constipation, vomiting, diarrhea, dysphagia, flatulence.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Genitourinary system</w:t>
      </w:r>
      <w:r>
        <w:rPr>
          <w:rFonts w:eastAsia="Times New Roman" w:cs="Times New Roman" w:ascii="Times New Roman" w:hAnsi="Times New Roman"/>
          <w:sz w:val="24"/>
          <w:szCs w:val="24"/>
        </w:rPr>
        <w:t xml:space="preserve"> – denies urinary frequency, urgency, nocturia, polyuria, oliguria, dysuria,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incontinence, or flank pain.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Musculoskeletal: denies arthralgias, myalgias, neck pain and neck stiffness.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Neurological:  admits of mild  dizziness but denies tremors, syncope, weakness, numbness and headaches.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Physical Exam</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General:pt is oriented to person, place, and time. He appears well-developed and well-nourished. Non-toxic appearance. Pt seems to be in  moderate distress.</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Vital Signs: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BP: 130/80 R arm Sitting,</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Pulse 103</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Temp 98.2 degrees F (Oral)</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Resp 18</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SpO2 100%</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Height 68 Weight BMI: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Nails: no sign of clubbing, cyanosis, koilonychia, paronychia. capillary refill &lt;2 seconds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throughout.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Skin: warm, moist and smooth to touch, good turgor. Nonicteric, no evidence of hypo or</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hyper pigmentation, erythema, mass, lesions, scars or tattoos.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Head: normocephalic, atraumatic, no specific facies.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Eyes: Pupils are equal, round, and reactive to light.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Neck - Trachea midline. No masses; lesions; scars Normal range of motion. Neck supple.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Heart: regular rate and rhythm (RRR); S1 and S2 are normal. There are no murmurs, S3, S4,</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splitting of heart sounds, friction rubs or other extra sounds.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Lungs – clear to auscultation and no evidence of adventitious sounds.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Abdomen:</w:t>
      </w:r>
      <w:r>
        <w:rPr>
          <w:rFonts w:eastAsia="Times New Roman" w:cs="Times New Roman" w:ascii="Times New Roman" w:hAnsi="Times New Roman"/>
          <w:sz w:val="24"/>
          <w:szCs w:val="24"/>
        </w:rPr>
        <w:t xml:space="preserve"> Flat / symmetrical / no evidence of scars or abnormal pulsations. Bowel sound is present in all four quadrants. Soft, tender to the right lower quadrant at McBurney's point, guarding. No psoas, obturator, or rovsing sign, no rebound, no distension, no fluid wave or ascites. There is no CVA tenderness.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Genitourinary: Bilateral testes descendants, cremasteric reflex present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Musculoskeletal: Normal range of motion. He exhibits no edema, tenderness or deformity.</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Neurological: alert and oriented to person, place, and time.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Assessment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17 years old male with PMHx of childhood Asthma presents to the Pediatrics ER complaining of right lower quadrant pain for the past one day. Patient's physical exam shows RLQ tenderness at McBurney's point which is a concern for appendicitis.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Differential Diagnosis:</w:t>
      </w:r>
    </w:p>
    <w:p>
      <w:pPr>
        <w:pStyle w:val="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Appendicitis</w:t>
      </w:r>
    </w:p>
    <w:p>
      <w:pPr>
        <w:pStyle w:val="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Constipation </w:t>
      </w:r>
    </w:p>
    <w:p>
      <w:pPr>
        <w:pStyle w:val="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Diverticulitis</w:t>
      </w:r>
    </w:p>
    <w:p>
      <w:pPr>
        <w:pStyle w:val="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Cystitis </w:t>
      </w:r>
    </w:p>
    <w:p>
      <w:pPr>
        <w:pStyle w:val="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Renal colic </w:t>
      </w:r>
    </w:p>
    <w:p>
      <w:pPr>
        <w:pStyle w:val="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Pyelonephritis </w:t>
      </w:r>
    </w:p>
    <w:p>
      <w:pPr>
        <w:pStyle w:val="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Colon Cancer</w:t>
      </w:r>
    </w:p>
    <w:p>
      <w:pPr>
        <w:pStyle w:val="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Inflammatory Bowel Disease </w:t>
      </w:r>
    </w:p>
    <w:p>
      <w:pPr>
        <w:pStyle w:val="Normal"/>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Plan: </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Labs: CBC (wbc- 8.87 Neutrophil 73.3, H/H 14.0/42.6), CMP (Na 135, lipase 15, lactate 1.2), UA, UA culture, CRP, D-dimer, Troponin, COVID-cephid </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Imaging: </w:t>
      </w:r>
    </w:p>
    <w:p>
      <w:pPr>
        <w:pStyle w:val="Normal"/>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CT of the abdomen with IV and PO contrast</w:t>
        <w:br/>
        <w:t>IMPRESSION:</w:t>
        <w:br/>
        <w:t>Impression: Acute appendicitis. No periappendiceal abscess or pneumoperitoneum.</w:t>
        <w:br/>
        <w:t>Dilated appendix with enhancing wall and inflammatory fat stranding due to acute appendicitis. No discrete enhancing periappendiceal fluid collection to suggest abscess. No evidence of bowel obstruction. No significant ascites. No pneumoperitoneum. No</w:t>
        <w:br/>
        <w:t>significant bowel wall thickening.</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Fluid</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Analgesia: Toradol</w:t>
      </w:r>
    </w:p>
    <w:p>
      <w:pPr>
        <w:pStyle w:val="Normal"/>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Consult Cohen children hospital surgery</w:t>
      </w:r>
    </w:p>
    <w:p>
      <w:pPr>
        <w:pStyle w:val="Normal"/>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If the patient was under my management I would:  </w:t>
      </w:r>
    </w:p>
    <w:p>
      <w:pPr>
        <w:pStyle w:val="Normal"/>
        <w:numPr>
          <w:ilvl w:val="1"/>
          <w:numId w:val="2"/>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NPO.</w:t>
      </w:r>
    </w:p>
    <w:p>
      <w:pPr>
        <w:pStyle w:val="Normal"/>
        <w:numPr>
          <w:ilvl w:val="1"/>
          <w:numId w:val="3"/>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IVFs.</w:t>
      </w:r>
    </w:p>
    <w:p>
      <w:pPr>
        <w:pStyle w:val="Normal"/>
        <w:numPr>
          <w:ilvl w:val="1"/>
          <w:numId w:val="3"/>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IV zosyn and flagyl.</w:t>
      </w:r>
    </w:p>
    <w:p>
      <w:pPr>
        <w:pStyle w:val="Normal"/>
        <w:numPr>
          <w:ilvl w:val="1"/>
          <w:numId w:val="3"/>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 for urgent laparoscopic appendectomy.</w:t>
      </w:r>
    </w:p>
    <w:p>
      <w:pPr>
        <w:pStyle w:val="Normal"/>
        <w:numPr>
          <w:ilvl w:val="1"/>
          <w:numId w:val="3"/>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Lovenox for DVT prophylaxis.</w:t>
      </w:r>
    </w:p>
    <w:p>
      <w:pPr>
        <w:pStyle w:val="Normal"/>
        <w:numPr>
          <w:ilvl w:val="1"/>
          <w:numId w:val="3"/>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Protonix for GI prophylaxis.</w:t>
      </w:r>
    </w:p>
    <w:p>
      <w:pPr>
        <w:pStyle w:val="Normal"/>
        <w:ind w:left="14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Adolescent 10-19 years age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Metronidazole- loading dose of 15mg/kg IV over 1 hours followed by 7.5 mg/kg IV over 6 hours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Zosyn- 3.375 Gram IV q6hr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According to Us Pharmacy, A single antibiotic is sufficient for a nonperforated appendicitis. Second- or third-generation cephalosporins such as cefoxitin or cefotetan are used in uncomplicated cases. However, Broader-spectrum coverage is obtained with piperacillin-tazobactam, ampicillin-sulbactam, ticarcillin-clavulanate, or imipenem-cilastatin.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Piperacillin-tazobactam</w:t>
      </w:r>
      <w:r>
        <w:rPr>
          <w:rFonts w:eastAsia="Times New Roman" w:cs="Times New Roman" w:ascii="Times New Roman" w:hAnsi="Times New Roman"/>
          <w:sz w:val="24"/>
          <w:szCs w:val="24"/>
        </w:rPr>
        <w:t>, which is useful against gram-positive, gram-negative, and anaerobic bacteria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color w:val="212529"/>
          <w:sz w:val="24"/>
          <w:szCs w:val="24"/>
          <w:highlight w:val="white"/>
        </w:rPr>
      </w:pPr>
      <w:r>
        <w:rPr>
          <w:rFonts w:eastAsia="Times New Roman" w:cs="Times New Roman" w:ascii="Times New Roman" w:hAnsi="Times New Roman"/>
          <w:sz w:val="24"/>
          <w:szCs w:val="24"/>
        </w:rPr>
        <w:t>Metronidazole provides broad gram-negative and anaerobic coverage</w:t>
      </w:r>
    </w:p>
    <w:p>
      <w:pPr>
        <w:pStyle w:val="Normal"/>
        <w:jc w:val="both"/>
        <w:rPr>
          <w:rFonts w:ascii="Times New Roman" w:hAnsi="Times New Roman" w:eastAsia="Times New Roman" w:cs="Times New Roman"/>
          <w:sz w:val="24"/>
          <w:szCs w:val="24"/>
        </w:rPr>
      </w:pPr>
      <w:r>
        <w:rPr/>
        <w:drawing>
          <wp:inline distT="0" distB="0" distL="0" distR="0">
            <wp:extent cx="5715000" cy="46767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715000" cy="4676775"/>
                    </a:xfrm>
                    <a:prstGeom prst="rect">
                      <a:avLst/>
                    </a:prstGeom>
                  </pic:spPr>
                </pic:pic>
              </a:graphicData>
            </a:graphic>
          </wp:inline>
        </w:drawing>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Roboto" w:hAnsi="Roboto" w:eastAsia="Roboto" w:cs="Roboto"/>
          <w:color w:val="202124"/>
          <w:sz w:val="24"/>
          <w:szCs w:val="24"/>
          <w:highlight w:val="white"/>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Roboto">
    <w:charset w:val="01"/>
    <w:family w:val="roman"/>
    <w:pitch w:val="variable"/>
  </w:font>
  <w:font w:name="Wingdings 2">
    <w:charset w:val="02"/>
    <w:family w:val="auto"/>
    <w:pitch w:val="default"/>
  </w:font>
  <w:font w:name="Wingdings">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sz w:val="24"/>
        <w:u w:val="none"/>
        <w:rFonts w:ascii="Times New Roman" w:hAnsi="Times New Roman"/>
      </w:rPr>
    </w:lvl>
    <w:lvl w:ilvl="1">
      <w:start w:val="1"/>
      <w:numFmt w:val="bullet"/>
      <w:lvlText w:val=""/>
      <w:lvlJc w:val="left"/>
      <w:pPr>
        <w:ind w:left="1440" w:hanging="360"/>
      </w:pPr>
      <w:rPr>
        <w:rFonts w:ascii="Wingdings 2" w:hAnsi="Wingdings 2" w:cs="Wingdings 2" w:hint="default"/>
        <w:sz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rFonts w:ascii="Times New Roman" w:hAnsi="Times New Roman"/>
      <w:sz w:val="24"/>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rFonts w:ascii="Times New Roman" w:hAnsi="Times New Roman"/>
      <w:sz w:val="24"/>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863</Words>
  <Characters>5106</Characters>
  <CharactersWithSpaces>5905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2020-11-29T14:39:00Z</dcterms:modified>
  <cp:revision>1</cp:revision>
  <dc:subject/>
  <dc:title/>
</cp:coreProperties>
</file>