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Mid Rotation site evaluation:</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mid-site evaluation, I presented a patient who came to the ER complaining of burning sensation during urination. This patient was only four years old and she was suffering from recurrent UTI which caught my attention because this patient and her family would benefit by learning ways to prevent recurrent UTI. Also, the urine culture was resistant to multiple antibiotics, which was a concerning point for this patient. </w:t>
      </w:r>
      <w:r>
        <w:rPr>
          <w:rFonts w:eastAsia="Times New Roman" w:cs="Times New Roman" w:ascii="Times New Roman" w:hAnsi="Times New Roman"/>
          <w:sz w:val="24"/>
          <w:szCs w:val="24"/>
          <w:highlight w:val="white"/>
        </w:rPr>
        <w:t xml:space="preserve"> Professor Maida agreed with me that this type of patient requires education and proper management. Professor Maida and I discussed multiple other  differential diagnoses for this patient presentation, which I really loved.</w:t>
      </w:r>
      <w:r>
        <w:rPr>
          <w:rFonts w:eastAsia="Times New Roman" w:cs="Times New Roman" w:ascii="Times New Roman" w:hAnsi="Times New Roman"/>
          <w:sz w:val="24"/>
          <w:szCs w:val="24"/>
        </w:rPr>
        <w:t xml:space="preserve"> I loved the fact that professor Maida quiz us on the pharm card of other students because that forced me to learn more medication inforations. Also,the way professor Maida rotated and asked about additional side effects and route of administration was really learning friendly. For example, he questioned about the route of administration for ceftriaxone which is either IV or IM because PO ceftriaxone is not available. I struggle with this type of information so I really enjoyed that aspect for the site evaluation. </w:t>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48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End of rotation site evaluation:</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For the final site evaluation, I presented a patient who came to the ER complaining of right lower quadrant abdominal pain. I chose to present this patient because the patient presentation was like a typical and classic  appendicitis presentation, which was an interesting experience for me. I was able to create a broad range of differential diagnosis, which professor Maida agreed with. However, this patient was transferred to Cohen children hospital so I could not follow up with the management plan. This provided me with the opportunity to create a management plan that I believe is an appropriate treatment plan. I would initiate a broad range of antibiotics before proceeding toward surgery. I also chose an article that looks at the efficacy of antibiotics for uncomplicated appendicitis. Professor Maida discussed the effectiveness of antibiotics which could be alternative to surgery for uncomplicated appendicitis. Overall, the site evaluation was an effective and judgement free learning opportunity. </w:t>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pacing w:lineRule="auto" w:line="48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349</Words>
  <Characters>1896</Characters>
  <CharactersWithSpaces>2246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