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Farhana Chowdhury </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Date &amp; Time: January 5th, 2021</w:t>
      </w:r>
    </w:p>
    <w:p>
      <w:pPr>
        <w:pStyle w:val="Normal"/>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Chief Complaint: </w:t>
      </w:r>
      <w:r>
        <w:rPr>
          <w:rFonts w:eastAsia="Times New Roman" w:cs="Times New Roman" w:ascii="Times New Roman" w:hAnsi="Times New Roman"/>
          <w:color w:val="000000"/>
          <w:sz w:val="24"/>
          <w:szCs w:val="24"/>
        </w:rPr>
        <w:t xml:space="preserve">Right upper quadrant abdominal pain for the past three days </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 </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History of Present Illness:</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A 37 year old female with no significant past medical hx present to the ER complaining of RUQ abdominal pain for the past 3 days. Patient has been experiencing similar pain for the past 15 years but the pain was milder. However, patients have not sought medical care in the past. Patient describes the discomfort as intermittent, sharp, 9/10 epigastric non-radiating pain. The pain worse with food and reports mild relief with maalox and tums. Patient reports three episodes of vomiting  non bilious non bloody with constant nausea, feeling feverish and chills. Denies diarrhea, constipation, chest pain, SOB, headache, dizziness, LOC, skin changes or urinary complaint. </w:t>
      </w:r>
    </w:p>
    <w:p>
      <w:pPr>
        <w:pStyle w:val="Normal"/>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Past Medical History: </w:t>
      </w:r>
      <w:r>
        <w:rPr>
          <w:rFonts w:eastAsia="Times New Roman" w:cs="Times New Roman" w:ascii="Times New Roman" w:hAnsi="Times New Roman"/>
          <w:color w:val="000000"/>
          <w:sz w:val="24"/>
          <w:szCs w:val="24"/>
        </w:rPr>
        <w:t xml:space="preserve">none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Past Surgical History: </w:t>
      </w:r>
      <w:r>
        <w:rPr>
          <w:rFonts w:eastAsia="Times New Roman" w:cs="Times New Roman" w:ascii="Times New Roman" w:hAnsi="Times New Roman"/>
          <w:color w:val="000000"/>
          <w:sz w:val="24"/>
          <w:szCs w:val="24"/>
        </w:rPr>
        <w:t>none</w:t>
      </w:r>
    </w:p>
    <w:p>
      <w:pPr>
        <w:pStyle w:val="Normal"/>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Allergies: </w:t>
      </w:r>
      <w:r>
        <w:rPr>
          <w:rFonts w:eastAsia="Times New Roman" w:cs="Times New Roman" w:ascii="Times New Roman" w:hAnsi="Times New Roman"/>
          <w:color w:val="000000"/>
          <w:sz w:val="24"/>
          <w:szCs w:val="24"/>
        </w:rPr>
        <w:t>NKDA</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b/>
          <w:color w:val="000000"/>
          <w:sz w:val="24"/>
          <w:szCs w:val="24"/>
        </w:rPr>
        <w:t>FHx</w:t>
      </w:r>
      <w:r>
        <w:rPr>
          <w:rFonts w:eastAsia="Times New Roman" w:cs="Times New Roman" w:ascii="Times New Roman" w:hAnsi="Times New Roman"/>
          <w:color w:val="000000"/>
          <w:sz w:val="24"/>
          <w:szCs w:val="24"/>
        </w:rPr>
        <w:t>: Unremarkable</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b/>
          <w:color w:val="000000"/>
          <w:sz w:val="24"/>
          <w:szCs w:val="24"/>
        </w:rPr>
        <w:t>SHx</w:t>
      </w:r>
      <w:r>
        <w:rPr>
          <w:rFonts w:eastAsia="Times New Roman" w:cs="Times New Roman" w:ascii="Times New Roman" w:hAnsi="Times New Roman"/>
          <w:color w:val="000000"/>
          <w:sz w:val="24"/>
          <w:szCs w:val="24"/>
        </w:rPr>
        <w:t xml:space="preserve">: denies alcohol, smoking or recreational drug use. </w:t>
      </w:r>
    </w:p>
    <w:p>
      <w:pPr>
        <w:pStyle w:val="Normal"/>
        <w:jc w:val="both"/>
        <w:rPr>
          <w:rFonts w:ascii="Times New Roman" w:hAnsi="Times New Roman" w:eastAsia="Times New Roman" w:cs="Times New Roman"/>
          <w:color w:val="0F0F0F"/>
          <w:sz w:val="24"/>
          <w:szCs w:val="24"/>
        </w:rPr>
      </w:pPr>
      <w:r>
        <w:rPr>
          <w:rFonts w:eastAsia="Times New Roman" w:cs="Times New Roman" w:ascii="Times New Roman" w:hAnsi="Times New Roman"/>
          <w:b/>
          <w:color w:val="000000"/>
          <w:sz w:val="24"/>
          <w:szCs w:val="24"/>
        </w:rPr>
        <w:t>Home meds</w:t>
      </w:r>
      <w:r>
        <w:rPr>
          <w:rFonts w:eastAsia="Times New Roman" w:cs="Times New Roman" w:ascii="Times New Roman" w:hAnsi="Times New Roman"/>
          <w:color w:val="000000"/>
          <w:sz w:val="24"/>
          <w:szCs w:val="24"/>
        </w:rPr>
        <w:t xml:space="preserve">: none </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 </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Review of Systems: </w:t>
      </w:r>
    </w:p>
    <w:p>
      <w:pPr>
        <w:pStyle w:val="Normal"/>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Constitutional</w:t>
      </w:r>
      <w:r>
        <w:rPr>
          <w:rFonts w:eastAsia="Times New Roman" w:cs="Times New Roman" w:ascii="Times New Roman" w:hAnsi="Times New Roman"/>
          <w:color w:val="000000"/>
          <w:sz w:val="24"/>
          <w:szCs w:val="24"/>
        </w:rPr>
        <w:t xml:space="preserve">: reports </w:t>
      </w:r>
      <w:r>
        <w:rPr>
          <w:rFonts w:eastAsia="Times New Roman" w:cs="Times New Roman" w:ascii="Times New Roman" w:hAnsi="Times New Roman"/>
          <w:color w:val="000000"/>
          <w:sz w:val="24"/>
          <w:szCs w:val="24"/>
        </w:rPr>
        <w:t>fever, chills, fatigue</w:t>
      </w:r>
      <w:r>
        <w:rPr>
          <w:rFonts w:eastAsia="Times New Roman" w:cs="Times New Roman" w:ascii="Times New Roman" w:hAnsi="Times New Roman"/>
          <w:color w:val="000000"/>
          <w:sz w:val="24"/>
          <w:szCs w:val="24"/>
        </w:rPr>
        <w:t xml:space="preserve"> but denies recent weight loss or gain.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Head</w:t>
      </w:r>
      <w:r>
        <w:rPr>
          <w:rFonts w:eastAsia="Times New Roman" w:cs="Times New Roman" w:ascii="Times New Roman" w:hAnsi="Times New Roman"/>
          <w:color w:val="000000"/>
          <w:sz w:val="24"/>
          <w:szCs w:val="24"/>
        </w:rPr>
        <w:t xml:space="preserve"> –Denies headaches, vertigo or head trauma.</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Pulmonary system </w:t>
      </w:r>
      <w:r>
        <w:rPr>
          <w:rFonts w:eastAsia="Times New Roman" w:cs="Times New Roman" w:ascii="Times New Roman" w:hAnsi="Times New Roman"/>
          <w:color w:val="000000"/>
          <w:sz w:val="24"/>
          <w:szCs w:val="24"/>
        </w:rPr>
        <w:t>– denies dyspnea, dyspnea on exertion, cough, hemoptysis, cyanosis,</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orthopnea, or paroxysmal nocturnal dyspnea (PND).</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Cardiovascular system</w:t>
      </w:r>
      <w:r>
        <w:rPr>
          <w:rFonts w:eastAsia="Times New Roman" w:cs="Times New Roman" w:ascii="Times New Roman" w:hAnsi="Times New Roman"/>
          <w:color w:val="000000"/>
          <w:sz w:val="24"/>
          <w:szCs w:val="24"/>
        </w:rPr>
        <w:t xml:space="preserve"> – Denies chest pain, palpitations, irregular heartbeat, edema/swelling of ankles or feet. syncope or known heart murmur</w:t>
      </w:r>
    </w:p>
    <w:p>
      <w:pPr>
        <w:pStyle w:val="Normal"/>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Gastrointestinal:</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reports epigastric abdominal pain, nausea and vomiting</w:t>
      </w:r>
      <w:r>
        <w:rPr>
          <w:rFonts w:eastAsia="Times New Roman" w:cs="Times New Roman" w:ascii="Times New Roman" w:hAnsi="Times New Roman"/>
          <w:color w:val="000000"/>
          <w:sz w:val="24"/>
          <w:szCs w:val="24"/>
        </w:rPr>
        <w:t xml:space="preserve">. Denies abdominal distention, anal bleeding, blood in stool, diarrhea, dysphagia, flatulence.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Genitourinary system </w:t>
      </w:r>
      <w:r>
        <w:rPr>
          <w:rFonts w:eastAsia="Times New Roman" w:cs="Times New Roman" w:ascii="Times New Roman" w:hAnsi="Times New Roman"/>
          <w:color w:val="000000"/>
          <w:sz w:val="24"/>
          <w:szCs w:val="24"/>
        </w:rPr>
        <w:t>– denies urinary frequency, polyuria urgency, nocturia, oliguria, dysuria, incontinence, or flank pain.</w:t>
      </w:r>
    </w:p>
    <w:p>
      <w:pPr>
        <w:pStyle w:val="Normal"/>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Physical Exam</w:t>
      </w:r>
    </w:p>
    <w:p>
      <w:pPr>
        <w:pStyle w:val="Normal"/>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General:</w:t>
      </w:r>
      <w:r>
        <w:rPr>
          <w:rFonts w:eastAsia="Times New Roman" w:cs="Times New Roman" w:ascii="Times New Roman" w:hAnsi="Times New Roman"/>
          <w:color w:val="000000"/>
          <w:sz w:val="24"/>
          <w:szCs w:val="24"/>
        </w:rPr>
        <w:t xml:space="preserve"> pt appears well-developed and well-nourished, oriented to person, place, and time. Non-toxic appearance. Pt seems to have a moderate distress. </w:t>
      </w:r>
    </w:p>
    <w:p>
      <w:pPr>
        <w:pStyle w:val="Normal"/>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Vitals</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BP: </w:t>
      </w:r>
      <w:r>
        <w:rPr>
          <w:rFonts w:eastAsia="Times New Roman" w:cs="Times New Roman" w:ascii="Times New Roman" w:hAnsi="Times New Roman"/>
          <w:color w:val="000000"/>
          <w:sz w:val="24"/>
          <w:szCs w:val="24"/>
        </w:rPr>
        <w:t>110/72 Left arm, lying</w:t>
      </w:r>
      <w:r>
        <w:rPr>
          <w:rFonts w:eastAsia="Times New Roman" w:cs="Times New Roman" w:ascii="Times New Roman" w:hAnsi="Times New Roman"/>
          <w:b/>
          <w:color w:val="000000"/>
          <w:sz w:val="24"/>
          <w:szCs w:val="24"/>
        </w:rPr>
        <w:t xml:space="preserve">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Pulse: </w:t>
      </w:r>
      <w:r>
        <w:rPr>
          <w:rFonts w:eastAsia="Times New Roman" w:cs="Times New Roman" w:ascii="Times New Roman" w:hAnsi="Times New Roman"/>
          <w:color w:val="000000"/>
          <w:sz w:val="24"/>
          <w:szCs w:val="24"/>
        </w:rPr>
        <w:t xml:space="preserve">99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RR: </w:t>
      </w:r>
      <w:r>
        <w:rPr>
          <w:rFonts w:eastAsia="Times New Roman" w:cs="Times New Roman" w:ascii="Times New Roman" w:hAnsi="Times New Roman"/>
          <w:color w:val="000000"/>
          <w:sz w:val="24"/>
          <w:szCs w:val="24"/>
        </w:rPr>
        <w:t xml:space="preserve">17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SpO2: </w:t>
      </w:r>
      <w:r>
        <w:rPr>
          <w:rFonts w:eastAsia="Times New Roman" w:cs="Times New Roman" w:ascii="Times New Roman" w:hAnsi="Times New Roman"/>
          <w:color w:val="000000"/>
          <w:sz w:val="24"/>
          <w:szCs w:val="24"/>
        </w:rPr>
        <w:t>96%</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RA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Temp: </w:t>
      </w:r>
      <w:r>
        <w:rPr>
          <w:rFonts w:eastAsia="Times New Roman" w:cs="Times New Roman" w:ascii="Times New Roman" w:hAnsi="Times New Roman"/>
          <w:color w:val="000000"/>
          <w:sz w:val="24"/>
          <w:szCs w:val="24"/>
        </w:rPr>
        <w:t>100.3 °F</w:t>
      </w:r>
    </w:p>
    <w:p>
      <w:pPr>
        <w:pStyle w:val="Normal"/>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Height</w:t>
      </w:r>
      <w:r>
        <w:rPr>
          <w:rFonts w:eastAsia="Times New Roman" w:cs="Times New Roman" w:ascii="Times New Roman" w:hAnsi="Times New Roman"/>
          <w:color w:val="000000"/>
          <w:sz w:val="24"/>
          <w:szCs w:val="24"/>
        </w:rPr>
        <w:t xml:space="preserve">: 57 inches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Weight</w:t>
      </w:r>
      <w:r>
        <w:rPr>
          <w:rFonts w:eastAsia="Times New Roman" w:cs="Times New Roman" w:ascii="Times New Roman" w:hAnsi="Times New Roman"/>
          <w:color w:val="000000"/>
          <w:sz w:val="24"/>
          <w:szCs w:val="24"/>
        </w:rPr>
        <w:t xml:space="preserve">: 124LB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BMI</w:t>
      </w:r>
      <w:r>
        <w:rPr>
          <w:rFonts w:eastAsia="Times New Roman" w:cs="Times New Roman" w:ascii="Times New Roman" w:hAnsi="Times New Roman"/>
          <w:color w:val="000000"/>
          <w:sz w:val="24"/>
          <w:szCs w:val="24"/>
        </w:rPr>
        <w:t>: 28.82</w:t>
      </w:r>
    </w:p>
    <w:p>
      <w:pPr>
        <w:pStyle w:val="Normal"/>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 </w:t>
      </w:r>
    </w:p>
    <w:p>
      <w:pPr>
        <w:pStyle w:val="Normal"/>
        <w:rPr>
          <w:rFonts w:ascii="Times New Roman" w:hAnsi="Times New Roman" w:eastAsia="Times New Roman" w:cs="Times New Roman"/>
          <w:b/>
          <w:b/>
          <w:sz w:val="24"/>
          <w:szCs w:val="24"/>
          <w:u w:val="single"/>
        </w:rPr>
      </w:pPr>
      <w:r>
        <w:rPr>
          <w:rFonts w:eastAsia="Times New Roman" w:cs="Times New Roman" w:ascii="Times New Roman" w:hAnsi="Times New Roman"/>
          <w:b/>
          <w:color w:val="000000"/>
          <w:sz w:val="24"/>
          <w:szCs w:val="24"/>
          <w:u w:val="single"/>
        </w:rPr>
        <w:t>Physical Exam</w:t>
      </w:r>
    </w:p>
    <w:p>
      <w:pPr>
        <w:pStyle w:val="Normal"/>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Nails:</w:t>
      </w:r>
      <w:r>
        <w:rPr>
          <w:rFonts w:eastAsia="Times New Roman" w:cs="Times New Roman" w:ascii="Times New Roman" w:hAnsi="Times New Roman"/>
          <w:color w:val="000000"/>
          <w:sz w:val="24"/>
          <w:szCs w:val="24"/>
        </w:rPr>
        <w:t xml:space="preserve"> no sign of clubbing, cyanosis, koilonychia, paronychia. capillary refill &lt;2 seconds</w:t>
      </w:r>
    </w:p>
    <w:p>
      <w:pPr>
        <w:pStyle w:val="Normal"/>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throughout.</w:t>
      </w:r>
    </w:p>
    <w:p>
      <w:pPr>
        <w:pStyle w:val="Normal"/>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Skin:</w:t>
      </w:r>
      <w:r>
        <w:rPr>
          <w:rFonts w:eastAsia="Times New Roman" w:cs="Times New Roman" w:ascii="Times New Roman" w:hAnsi="Times New Roman"/>
          <w:color w:val="000000"/>
          <w:sz w:val="24"/>
          <w:szCs w:val="24"/>
        </w:rPr>
        <w:t xml:space="preserve"> warm, moist and smooth to touch, good turgor.</w:t>
      </w:r>
      <w:r>
        <w:rPr>
          <w:rFonts w:eastAsia="Times New Roman" w:cs="Times New Roman" w:ascii="Times New Roman" w:hAnsi="Times New Roman"/>
          <w:color w:val="000000"/>
          <w:sz w:val="24"/>
          <w:szCs w:val="24"/>
        </w:rPr>
        <w:t xml:space="preserve"> Nonicteric</w:t>
      </w:r>
      <w:r>
        <w:rPr>
          <w:rFonts w:eastAsia="Times New Roman" w:cs="Times New Roman" w:ascii="Times New Roman" w:hAnsi="Times New Roman"/>
          <w:color w:val="000000"/>
          <w:sz w:val="24"/>
          <w:szCs w:val="24"/>
        </w:rPr>
        <w:t>, no evidence of hypo or</w:t>
      </w:r>
    </w:p>
    <w:p>
      <w:pPr>
        <w:pStyle w:val="Normal"/>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hyper pigmentation, erythema, mass, lesions, scars or tattoos.</w:t>
      </w:r>
    </w:p>
    <w:p>
      <w:pPr>
        <w:pStyle w:val="Normal"/>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Head:</w:t>
      </w:r>
      <w:r>
        <w:rPr>
          <w:rFonts w:eastAsia="Times New Roman" w:cs="Times New Roman" w:ascii="Times New Roman" w:hAnsi="Times New Roman"/>
          <w:color w:val="000000"/>
          <w:sz w:val="24"/>
          <w:szCs w:val="24"/>
        </w:rPr>
        <w:t xml:space="preserve"> normocephalic and atraumatic</w:t>
      </w:r>
    </w:p>
    <w:p>
      <w:pPr>
        <w:pStyle w:val="Normal"/>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Eyes: </w:t>
      </w:r>
      <w:r>
        <w:rPr>
          <w:rFonts w:eastAsia="Times New Roman" w:cs="Times New Roman" w:ascii="Times New Roman" w:hAnsi="Times New Roman"/>
          <w:color w:val="000000"/>
          <w:sz w:val="24"/>
          <w:szCs w:val="24"/>
        </w:rPr>
        <w:t>Pupils are equal, round, and reactive to light.</w:t>
      </w:r>
    </w:p>
    <w:p>
      <w:pPr>
        <w:pStyle w:val="Normal"/>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Neck</w:t>
      </w:r>
      <w:r>
        <w:rPr>
          <w:rFonts w:eastAsia="Times New Roman" w:cs="Times New Roman" w:ascii="Times New Roman" w:hAnsi="Times New Roman"/>
          <w:color w:val="000000"/>
          <w:sz w:val="24"/>
          <w:szCs w:val="24"/>
        </w:rPr>
        <w:t>:Trachea midline. Neck supple.</w:t>
      </w:r>
    </w:p>
    <w:p>
      <w:pPr>
        <w:pStyle w:val="Normal"/>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Heart:</w:t>
      </w:r>
      <w:r>
        <w:rPr>
          <w:rFonts w:eastAsia="Times New Roman" w:cs="Times New Roman" w:ascii="Times New Roman" w:hAnsi="Times New Roman"/>
          <w:color w:val="000000"/>
          <w:sz w:val="24"/>
          <w:szCs w:val="24"/>
        </w:rPr>
        <w:t xml:space="preserve"> Regular rate and rhythm (RRR); S1 and S2 are normal. There are no murmurs, S3, S4,</w:t>
      </w:r>
    </w:p>
    <w:p>
      <w:pPr>
        <w:pStyle w:val="Normal"/>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splitting of heart sounds, friction rubs or other extra sounds.</w:t>
      </w:r>
    </w:p>
    <w:p>
      <w:pPr>
        <w:pStyle w:val="Normal"/>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Lungs</w:t>
      </w:r>
      <w:r>
        <w:rPr>
          <w:rFonts w:eastAsia="Times New Roman" w:cs="Times New Roman" w:ascii="Times New Roman" w:hAnsi="Times New Roman"/>
          <w:color w:val="000000"/>
          <w:sz w:val="24"/>
          <w:szCs w:val="24"/>
        </w:rPr>
        <w:t>: Clear to auscultation and no evidence of adventitious sounds.</w:t>
      </w:r>
    </w:p>
    <w:p>
      <w:pPr>
        <w:pStyle w:val="Normal"/>
        <w:rPr>
          <w:rFonts w:ascii="Times New Roman" w:hAnsi="Times New Roman" w:eastAsia="Times New Roman" w:cs="Times New Roman"/>
          <w:sz w:val="24"/>
          <w:szCs w:val="24"/>
          <w:u w:val="single"/>
        </w:rPr>
      </w:pPr>
      <w:r>
        <w:rPr>
          <w:rFonts w:eastAsia="Times New Roman" w:cs="Times New Roman" w:ascii="Times New Roman" w:hAnsi="Times New Roman"/>
          <w:b/>
          <w:color w:val="000000"/>
          <w:sz w:val="24"/>
          <w:szCs w:val="24"/>
        </w:rPr>
        <w:t>Abdomen</w:t>
      </w:r>
      <w:r>
        <w:rPr>
          <w:rFonts w:eastAsia="Times New Roman" w:cs="Times New Roman" w:ascii="Times New Roman" w:hAnsi="Times New Roman"/>
          <w:color w:val="000000"/>
          <w:sz w:val="24"/>
          <w:szCs w:val="24"/>
        </w:rPr>
        <w:t xml:space="preserve">: Flat / symmetrical / no evidence of scars, striae. Bowel sounds present in all four quadrants; Soft, tender to palpation in RUQ. Murphy sign positive; no masses, no organomegaly, rebound, guarding, or rigidity. </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Musculoskeletal: </w:t>
      </w:r>
      <w:r>
        <w:rPr>
          <w:rFonts w:eastAsia="Times New Roman" w:cs="Times New Roman" w:ascii="Times New Roman" w:hAnsi="Times New Roman"/>
          <w:color w:val="000000"/>
          <w:sz w:val="24"/>
          <w:szCs w:val="24"/>
        </w:rPr>
        <w:t xml:space="preserve"> Normal range of motion. He exhibits no edema, tenderness or deformity.</w:t>
      </w:r>
      <w:r>
        <w:rPr>
          <w:rFonts w:eastAsia="Times New Roman" w:cs="Times New Roman" w:ascii="Times New Roman" w:hAnsi="Times New Roman"/>
          <w:b/>
          <w:color w:val="000000"/>
          <w:sz w:val="24"/>
          <w:szCs w:val="24"/>
        </w:rPr>
        <w:t xml:space="preserve">  </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Neurological:</w:t>
      </w:r>
      <w:r>
        <w:rPr>
          <w:rFonts w:eastAsia="Times New Roman" w:cs="Times New Roman" w:ascii="Times New Roman" w:hAnsi="Times New Roman"/>
          <w:color w:val="000000"/>
          <w:sz w:val="24"/>
          <w:szCs w:val="24"/>
        </w:rPr>
        <w:t xml:space="preserve"> She is alert and oriented to person, place, and time.</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 </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Lab Data:</w:t>
      </w:r>
    </w:p>
    <w:p>
      <w:pPr>
        <w:pStyle w:val="Normal"/>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UA- Appearance: yellow / turbid,  pH: 7.5, glucose: negative, protein: negative, ketones: 15, Trace of leukocytes </w:t>
      </w:r>
    </w:p>
    <w:p>
      <w:pPr>
        <w:pStyle w:val="Normal"/>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WBC: 15.76 / Hb: 10.1 (MCV: 93.1) / Hct: 31.0 / Plt: 302   </w:t>
      </w:r>
    </w:p>
    <w:p>
      <w:pPr>
        <w:pStyle w:val="Normal"/>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ab/>
        <w:t xml:space="preserve"> --  Diff: N:89.2%  L:6.5%  Mo:3.6%  Eo:0.00%</w:t>
      </w:r>
    </w:p>
    <w:p>
      <w:pPr>
        <w:pStyle w:val="Normal"/>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ab/>
      </w:r>
    </w:p>
    <w:p>
      <w:pPr>
        <w:pStyle w:val="Normal"/>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Alb: 5.1 / Bili: 1.1 / ALT:14 / AST: 16 / AlkPhos: 75 / Lip: 13 /Amylase: 60  </w:t>
      </w:r>
    </w:p>
    <w:p>
      <w:pPr>
        <w:pStyle w:val="Normal"/>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ab/>
      </w:r>
    </w:p>
    <w:p>
      <w:pPr>
        <w:pStyle w:val="Normal"/>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ab/>
        <w:t>137 |  97 | 12</w:t>
      </w:r>
    </w:p>
    <w:p>
      <w:pPr>
        <w:pStyle w:val="Normal"/>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ab/>
        <w:t xml:space="preserve">-----------------&lt; 128   Ca: 10.3   Anion Gap: 13   </w:t>
      </w:r>
    </w:p>
    <w:p>
      <w:pPr>
        <w:pStyle w:val="Normal"/>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ab/>
        <w:t>4.1 |  20 | .67</w:t>
      </w:r>
    </w:p>
    <w:p>
      <w:pPr>
        <w:pStyle w:val="Normal"/>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T&amp;S, PT:11.9/ aPTT:29.8/ INR:1.01</w:t>
      </w:r>
    </w:p>
    <w:p>
      <w:pPr>
        <w:pStyle w:val="Normal"/>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Imaging:</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CT Abdomen/Pelvis with IV</w:t>
      </w:r>
    </w:p>
    <w:p>
      <w:pPr>
        <w:pStyle w:val="Normal"/>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Impression: </w:t>
      </w:r>
    </w:p>
    <w:p>
      <w:pPr>
        <w:pStyle w:val="Normal"/>
        <w:numPr>
          <w:ilvl w:val="0"/>
          <w:numId w:val="3"/>
        </w:numPr>
        <w:spacing w:lineRule="auto" w:line="240"/>
        <w:ind w:left="720" w:hanging="3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The gallbladder is distended. Mild gallbladder wall edema is present. There is no biliary ductal dilatation.</w:t>
      </w:r>
    </w:p>
    <w:p>
      <w:pPr>
        <w:pStyle w:val="Normal"/>
        <w:numPr>
          <w:ilvl w:val="0"/>
          <w:numId w:val="3"/>
        </w:numPr>
        <w:spacing w:lineRule="auto" w:line="240"/>
        <w:ind w:left="720" w:hanging="3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An approximately 1.9 cm lobulated septated right renal cystic lesion is demonstrated</w:t>
      </w:r>
    </w:p>
    <w:p>
      <w:pPr>
        <w:pStyle w:val="Normal"/>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Ultrasound: </w:t>
      </w:r>
      <w:r>
        <w:rPr>
          <w:rFonts w:eastAsia="Times New Roman" w:cs="Times New Roman" w:ascii="Times New Roman" w:hAnsi="Times New Roman"/>
          <w:color w:val="000000"/>
          <w:sz w:val="24"/>
          <w:szCs w:val="24"/>
        </w:rPr>
        <w:t xml:space="preserve"> </w:t>
      </w:r>
    </w:p>
    <w:p>
      <w:pPr>
        <w:pStyle w:val="Normal"/>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Impression: </w:t>
      </w:r>
    </w:p>
    <w:p>
      <w:pPr>
        <w:pStyle w:val="Normal"/>
        <w:numPr>
          <w:ilvl w:val="0"/>
          <w:numId w:val="4"/>
        </w:numPr>
        <w:ind w:left="720" w:hanging="360"/>
        <w:rPr>
          <w:rFonts w:ascii="Times New Roman" w:hAnsi="Times New Roman" w:eastAsia="Times New Roman" w:cs="Times New Roman"/>
          <w:sz w:val="24"/>
          <w:szCs w:val="24"/>
          <w:u w:val="none"/>
        </w:rPr>
      </w:pPr>
      <w:r>
        <w:rPr>
          <w:rFonts w:eastAsia="Times New Roman" w:cs="Times New Roman" w:ascii="Times New Roman" w:hAnsi="Times New Roman"/>
          <w:color w:val="000000"/>
          <w:sz w:val="24"/>
          <w:szCs w:val="24"/>
        </w:rPr>
        <w:t>There is cholelithiasis. The wall of the gallbladder measures to be approximately 0.2 cm in thickness.</w:t>
      </w:r>
    </w:p>
    <w:p>
      <w:pPr>
        <w:pStyle w:val="Normal"/>
        <w:numPr>
          <w:ilvl w:val="0"/>
          <w:numId w:val="4"/>
        </w:numPr>
        <w:ind w:left="720" w:hanging="360"/>
        <w:rPr>
          <w:rFonts w:ascii="Times New Roman" w:hAnsi="Times New Roman" w:eastAsia="Times New Roman" w:cs="Times New Roman"/>
          <w:sz w:val="24"/>
          <w:szCs w:val="24"/>
          <w:u w:val="none"/>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There is no significant dilatation of the intrahepatic or of the extrahepatic bile ducts. The gallbladder is distended</w:t>
      </w:r>
    </w:p>
    <w:p>
      <w:pPr>
        <w:pStyle w:val="Normal"/>
        <w:rPr>
          <w:rFonts w:ascii="Times New Roman" w:hAnsi="Times New Roman" w:eastAsia="Times New Roman" w:cs="Times New Roman"/>
          <w:b/>
          <w:b/>
          <w:color w:val="000000"/>
          <w:sz w:val="24"/>
          <w:szCs w:val="24"/>
          <w:u w:val="single"/>
        </w:rPr>
      </w:pPr>
      <w:r>
        <w:rPr>
          <w:rFonts w:eastAsia="Times New Roman" w:cs="Times New Roman" w:ascii="Times New Roman" w:hAnsi="Times New Roman"/>
          <w:b/>
          <w:color w:val="000000"/>
          <w:sz w:val="24"/>
          <w:szCs w:val="24"/>
          <w:u w:val="single"/>
        </w:rPr>
      </w:r>
    </w:p>
    <w:p>
      <w:pPr>
        <w:pStyle w:val="Normal"/>
        <w:rPr>
          <w:rFonts w:ascii="Times New Roman" w:hAnsi="Times New Roman" w:eastAsia="Times New Roman" w:cs="Times New Roman"/>
          <w:b/>
          <w:b/>
          <w:sz w:val="24"/>
          <w:szCs w:val="24"/>
          <w:u w:val="single"/>
        </w:rPr>
      </w:pPr>
      <w:r>
        <w:rPr>
          <w:rFonts w:eastAsia="Times New Roman" w:cs="Times New Roman" w:ascii="Times New Roman" w:hAnsi="Times New Roman"/>
          <w:b/>
          <w:color w:val="000000"/>
          <w:sz w:val="24"/>
          <w:szCs w:val="24"/>
          <w:u w:val="single"/>
        </w:rPr>
        <w:t>Assessment</w:t>
      </w:r>
    </w:p>
    <w:p>
      <w:pPr>
        <w:pStyle w:val="Normal"/>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37 years old female present to ED c/o RUQ abdominal pain for past 3 days. Patient clinical presentation of RUQ pain, murphy sign, nausea, vomiting, fever, chills and the imaging suggest there is high suspicion for acute cholecystitis. </w:t>
      </w:r>
    </w:p>
    <w:p>
      <w:pPr>
        <w:pStyle w:val="Normal"/>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Differential Diagnosis: </w:t>
      </w:r>
    </w:p>
    <w:p>
      <w:pPr>
        <w:pStyle w:val="Normal"/>
        <w:numPr>
          <w:ilvl w:val="0"/>
          <w:numId w:val="1"/>
        </w:numPr>
        <w:ind w:left="720" w:hanging="3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Acute cholecystitis </w:t>
      </w:r>
    </w:p>
    <w:p>
      <w:pPr>
        <w:pStyle w:val="Normal"/>
        <w:numPr>
          <w:ilvl w:val="0"/>
          <w:numId w:val="1"/>
        </w:numPr>
        <w:ind w:left="720" w:hanging="360"/>
        <w:rPr>
          <w:rFonts w:ascii="Times New Roman" w:hAnsi="Times New Roman" w:eastAsia="Times New Roman" w:cs="Times New Roman"/>
          <w:sz w:val="24"/>
          <w:szCs w:val="24"/>
          <w:u w:val="none"/>
        </w:rPr>
      </w:pPr>
      <w:r>
        <w:rPr>
          <w:rFonts w:eastAsia="Times New Roman" w:cs="Times New Roman" w:ascii="Times New Roman" w:hAnsi="Times New Roman"/>
          <w:color w:val="000000"/>
          <w:sz w:val="24"/>
          <w:szCs w:val="24"/>
        </w:rPr>
        <w:t xml:space="preserve">Chronic cholecystitis </w:t>
      </w:r>
    </w:p>
    <w:p>
      <w:pPr>
        <w:pStyle w:val="Normal"/>
        <w:numPr>
          <w:ilvl w:val="0"/>
          <w:numId w:val="1"/>
        </w:numPr>
        <w:ind w:left="720" w:hanging="360"/>
        <w:rPr>
          <w:rFonts w:ascii="Times New Roman" w:hAnsi="Times New Roman" w:eastAsia="Times New Roman" w:cs="Times New Roman"/>
          <w:sz w:val="24"/>
          <w:szCs w:val="24"/>
          <w:u w:val="none"/>
        </w:rPr>
      </w:pPr>
      <w:r>
        <w:rPr>
          <w:rFonts w:eastAsia="Times New Roman" w:cs="Times New Roman" w:ascii="Times New Roman" w:hAnsi="Times New Roman"/>
          <w:color w:val="000000"/>
          <w:sz w:val="24"/>
          <w:szCs w:val="24"/>
        </w:rPr>
        <w:t>Cholelithiasis</w:t>
      </w:r>
    </w:p>
    <w:p>
      <w:pPr>
        <w:pStyle w:val="Normal"/>
        <w:numPr>
          <w:ilvl w:val="0"/>
          <w:numId w:val="1"/>
        </w:numPr>
        <w:ind w:left="720" w:hanging="3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Cholangitis </w:t>
      </w:r>
    </w:p>
    <w:p>
      <w:pPr>
        <w:pStyle w:val="Normal"/>
        <w:numPr>
          <w:ilvl w:val="0"/>
          <w:numId w:val="1"/>
        </w:numPr>
        <w:ind w:left="720" w:hanging="3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Biliary colic </w:t>
      </w:r>
    </w:p>
    <w:p>
      <w:pPr>
        <w:pStyle w:val="Normal"/>
        <w:numPr>
          <w:ilvl w:val="0"/>
          <w:numId w:val="1"/>
        </w:numPr>
        <w:ind w:left="720" w:hanging="3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Pancreatitis</w:t>
      </w:r>
    </w:p>
    <w:p>
      <w:pPr>
        <w:pStyle w:val="Normal"/>
        <w:ind w:left="0"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Plan: </w:t>
      </w:r>
    </w:p>
    <w:p>
      <w:pPr>
        <w:pStyle w:val="Normal"/>
        <w:numPr>
          <w:ilvl w:val="0"/>
          <w:numId w:val="2"/>
        </w:numPr>
        <w:ind w:left="720" w:hanging="3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Patient will be admitted to the surgical floor for further stabilization and monitoring </w:t>
      </w:r>
    </w:p>
    <w:p>
      <w:pPr>
        <w:pStyle w:val="Normal"/>
        <w:numPr>
          <w:ilvl w:val="0"/>
          <w:numId w:val="2"/>
        </w:numPr>
        <w:ind w:left="720" w:hanging="3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The benefits and drawbacks of laparoscopic cholecystectomy was discussed with the patient and a consent was sign to perform laparoscopic cholecystectomy tomorrow (1/06/21)</w:t>
      </w:r>
    </w:p>
    <w:p>
      <w:pPr>
        <w:pStyle w:val="Normal"/>
        <w:numPr>
          <w:ilvl w:val="0"/>
          <w:numId w:val="2"/>
        </w:numPr>
        <w:ind w:left="720" w:hanging="3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NPO </w:t>
      </w:r>
    </w:p>
    <w:p>
      <w:pPr>
        <w:pStyle w:val="Normal"/>
        <w:numPr>
          <w:ilvl w:val="0"/>
          <w:numId w:val="2"/>
        </w:numPr>
        <w:ind w:left="720" w:hanging="3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IV fluids </w:t>
      </w:r>
    </w:p>
    <w:p>
      <w:pPr>
        <w:pStyle w:val="Normal"/>
        <w:numPr>
          <w:ilvl w:val="0"/>
          <w:numId w:val="2"/>
        </w:numPr>
        <w:ind w:left="720" w:hanging="3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Pain management: Motrin 400mg every 6 hours </w:t>
      </w:r>
    </w:p>
    <w:p>
      <w:pPr>
        <w:pStyle w:val="Normal"/>
        <w:numPr>
          <w:ilvl w:val="0"/>
          <w:numId w:val="2"/>
        </w:numPr>
        <w:ind w:left="720" w:hanging="3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Zofran </w:t>
      </w:r>
    </w:p>
    <w:p>
      <w:pPr>
        <w:pStyle w:val="Normal"/>
        <w:numPr>
          <w:ilvl w:val="0"/>
          <w:numId w:val="2"/>
        </w:numPr>
        <w:ind w:left="720" w:hanging="3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Cefoxitin </w:t>
      </w:r>
    </w:p>
    <w:p>
      <w:pPr>
        <w:pStyle w:val="Normal"/>
        <w:numPr>
          <w:ilvl w:val="0"/>
          <w:numId w:val="2"/>
        </w:numPr>
        <w:ind w:left="720" w:hanging="3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DVT prophylaxis Lovenox 40 mg daily</w:t>
      </w:r>
    </w:p>
    <w:p>
      <w:pPr>
        <w:pStyle w:val="Normal"/>
        <w:numPr>
          <w:ilvl w:val="0"/>
          <w:numId w:val="2"/>
        </w:numPr>
        <w:ind w:left="720" w:hanging="3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Spirometry</w:t>
      </w:r>
    </w:p>
    <w:p>
      <w:pPr>
        <w:pStyle w:val="Normal"/>
        <w:numPr>
          <w:ilvl w:val="0"/>
          <w:numId w:val="2"/>
        </w:numPr>
        <w:ind w:left="720" w:hanging="3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Preoperative labs in the morning </w:t>
      </w:r>
    </w:p>
    <w:p>
      <w:pPr>
        <w:pStyle w:val="Normal"/>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p>
    <w:p>
      <w:pPr>
        <w:pStyle w:val="Normal"/>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p>
    <w:p>
      <w:pPr>
        <w:pStyle w:val="Normal"/>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p>
    <w:p>
      <w:pPr>
        <w:pStyle w:val="Normal"/>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rPr>
          <w:color w:val="000000"/>
        </w:rPr>
      </w:pPr>
      <w:r>
        <w:rPr>
          <w:color w:val="000000"/>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sz w:val="24"/>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sz w:val="24"/>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sz w:val="24"/>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2"/>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character" w:styleId="ListLabel1">
    <w:name w:val="ListLabel 1"/>
    <w:qFormat/>
    <w:rPr>
      <w:rFonts w:ascii="Times New Roman" w:hAnsi="Times New Roman"/>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Times New Roman" w:hAnsi="Times New Roman"/>
      <w:sz w:val="24"/>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Times New Roman" w:hAnsi="Times New Roman"/>
      <w:sz w:val="24"/>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ascii="Times New Roman" w:hAnsi="Times New Roman"/>
      <w:sz w:val="24"/>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TotalTime>
  <Application>LibreOffice/6.0.7.3$Linux_X86_64 LibreOffice_project/00m0$Build-3</Application>
  <Pages>4</Pages>
  <Words>715</Words>
  <Characters>4009</Characters>
  <CharactersWithSpaces>4701</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2021-01-14T14:28:37Z</dcterms:modified>
  <cp:revision>1</cp:revision>
  <dc:subject/>
  <dc:title/>
</cp:coreProperties>
</file>